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EB6E" w14:textId="1253C593" w:rsidR="007E4C11" w:rsidRPr="00F66D1A" w:rsidRDefault="00F86A1D">
      <w:pPr>
        <w:rPr>
          <w:rFonts w:ascii="Times New Roman" w:hAnsi="Times New Roman" w:cs="Times New Roman"/>
          <w:b/>
          <w:lang w:val="en-GB"/>
        </w:rPr>
      </w:pPr>
      <w:bookmarkStart w:id="0" w:name="_GoBack"/>
      <w:bookmarkEnd w:id="0"/>
      <w:r w:rsidRPr="00F66D1A">
        <w:rPr>
          <w:rFonts w:ascii="Times New Roman" w:hAnsi="Times New Roman" w:cs="Times New Roman"/>
          <w:b/>
          <w:bCs/>
          <w:lang w:val="en-GB"/>
        </w:rPr>
        <w:t>Call for papers</w:t>
      </w:r>
    </w:p>
    <w:p w14:paraId="493D53F3" w14:textId="77777777" w:rsidR="007E4C11" w:rsidRPr="00F66D1A" w:rsidRDefault="007E4C11">
      <w:pPr>
        <w:rPr>
          <w:rFonts w:ascii="Times New Roman" w:hAnsi="Times New Roman" w:cs="Times New Roman"/>
          <w:b/>
          <w:lang w:val="en-GB"/>
        </w:rPr>
      </w:pPr>
    </w:p>
    <w:p w14:paraId="08A6BEDE" w14:textId="245A152A" w:rsidR="00EC25C8" w:rsidRPr="00F66D1A" w:rsidRDefault="001275C0">
      <w:pPr>
        <w:rPr>
          <w:rFonts w:ascii="Times New Roman" w:hAnsi="Times New Roman" w:cs="Times New Roman"/>
          <w:b/>
          <w:lang w:val="en-GB"/>
        </w:rPr>
      </w:pPr>
      <w:r w:rsidRPr="00F66D1A">
        <w:rPr>
          <w:rFonts w:ascii="Times New Roman" w:hAnsi="Times New Roman" w:cs="Times New Roman"/>
          <w:b/>
          <w:bCs/>
          <w:lang w:val="en-GB"/>
        </w:rPr>
        <w:t>Call for papers “From the asylum of freedom to the right of asylum, Italy-Europe 14th-19th century”, Venice, Ca’</w:t>
      </w:r>
      <w:r w:rsidR="00BF231B">
        <w:rPr>
          <w:rFonts w:ascii="Times New Roman" w:hAnsi="Times New Roman" w:cs="Times New Roman"/>
          <w:b/>
          <w:bCs/>
          <w:lang w:val="en-GB"/>
        </w:rPr>
        <w:t xml:space="preserve"> </w:t>
      </w:r>
      <w:r w:rsidRPr="00F66D1A">
        <w:rPr>
          <w:rFonts w:ascii="Times New Roman" w:hAnsi="Times New Roman" w:cs="Times New Roman"/>
          <w:b/>
          <w:bCs/>
          <w:lang w:val="en-GB"/>
        </w:rPr>
        <w:t>Foscari University, Thursday-Friday 28-29 March 2019</w:t>
      </w:r>
    </w:p>
    <w:p w14:paraId="2D760970" w14:textId="77777777" w:rsidR="000436CD" w:rsidRPr="00F66D1A" w:rsidRDefault="000436CD">
      <w:pPr>
        <w:rPr>
          <w:rFonts w:ascii="Times New Roman" w:hAnsi="Times New Roman" w:cs="Times New Roman"/>
          <w:b/>
          <w:lang w:val="en-GB"/>
        </w:rPr>
      </w:pPr>
    </w:p>
    <w:p w14:paraId="1872FD2D" w14:textId="77777777" w:rsidR="000436CD" w:rsidRPr="00F66D1A" w:rsidRDefault="000436CD">
      <w:pPr>
        <w:rPr>
          <w:rFonts w:ascii="Times New Roman" w:hAnsi="Times New Roman" w:cs="Times New Roman"/>
          <w:b/>
          <w:lang w:val="en-GB"/>
        </w:rPr>
      </w:pPr>
    </w:p>
    <w:p w14:paraId="6CB93D03" w14:textId="58BD42C7" w:rsidR="000436CD" w:rsidRPr="00F66D1A" w:rsidRDefault="000436CD" w:rsidP="000436CD">
      <w:pPr>
        <w:spacing w:line="360" w:lineRule="auto"/>
        <w:jc w:val="both"/>
        <w:rPr>
          <w:rFonts w:ascii="Times New Roman" w:hAnsi="Times New Roman" w:cs="Times New Roman"/>
          <w:lang w:val="en-GB"/>
        </w:rPr>
      </w:pPr>
      <w:r w:rsidRPr="00F66D1A">
        <w:rPr>
          <w:rFonts w:ascii="Times New Roman" w:hAnsi="Times New Roman" w:cs="Times New Roman"/>
          <w:lang w:val="en-GB"/>
        </w:rPr>
        <w:t>The French revolution generated waves of mass migration to several European countries. “Emigrants”, as they were called, came to seek asylum, shaping a geography of reception cities and thus establishing locations offering “the asylum of freedom”. At or around the same time, on 24 June 1793, the Montagnard Constitution of the First Republic enshrined asylum in its Article 120, transforming it into a genuine right: the French people, according to the Article, “</w:t>
      </w:r>
      <w:r w:rsidRPr="00F66D1A">
        <w:rPr>
          <w:rFonts w:ascii="Times New Roman" w:hAnsi="Times New Roman" w:cs="Times New Roman"/>
          <w:i/>
          <w:iCs/>
          <w:lang w:val="en-GB"/>
        </w:rPr>
        <w:t>provide asylum to foreigners banished from their native country on account of liberty</w:t>
      </w:r>
      <w:r w:rsidRPr="00F66D1A">
        <w:rPr>
          <w:rFonts w:ascii="Times New Roman" w:hAnsi="Times New Roman" w:cs="Times New Roman"/>
          <w:lang w:val="en-GB"/>
        </w:rPr>
        <w:t>.</w:t>
      </w:r>
      <w:r w:rsidRPr="00F66D1A">
        <w:rPr>
          <w:rFonts w:ascii="Times New Roman" w:hAnsi="Times New Roman" w:cs="Times New Roman"/>
          <w:i/>
          <w:iCs/>
          <w:lang w:val="en-GB"/>
        </w:rPr>
        <w:t xml:space="preserve"> They refuse it to tyrants.</w:t>
      </w:r>
      <w:r w:rsidRPr="00F66D1A">
        <w:rPr>
          <w:rFonts w:ascii="Times New Roman" w:hAnsi="Times New Roman" w:cs="Times New Roman"/>
          <w:lang w:val="en-GB"/>
        </w:rPr>
        <w:t>” As we well know, this generous piece of legislation did not last long. However, its ephemeral nature does not overshadow the fact that this was an unforeseen legal subject matter. For the first time in European history</w:t>
      </w:r>
      <w:r w:rsidR="00477623" w:rsidRPr="00F66D1A">
        <w:rPr>
          <w:rFonts w:ascii="Times New Roman" w:hAnsi="Times New Roman" w:cs="Times New Roman"/>
          <w:lang w:val="en-GB"/>
        </w:rPr>
        <w:t>,</w:t>
      </w:r>
      <w:r w:rsidRPr="00F66D1A">
        <w:rPr>
          <w:rFonts w:ascii="Times New Roman" w:hAnsi="Times New Roman" w:cs="Times New Roman"/>
          <w:lang w:val="en-GB"/>
        </w:rPr>
        <w:t xml:space="preserve"> a right to asylum was officially offered to individuals being persecuted for political or religious reasons. It established a long-lasting right for these individuals, but also a duty of protection as we understand it today: “</w:t>
      </w:r>
      <w:r w:rsidRPr="00F66D1A">
        <w:rPr>
          <w:rFonts w:ascii="Times New Roman" w:hAnsi="Times New Roman" w:cs="Times New Roman"/>
          <w:i/>
          <w:iCs/>
          <w:lang w:val="en-GB"/>
        </w:rPr>
        <w:t>a duty to protect individuals under threat in their country, a right to remain in the country and to dignified reception conditions for the entire period during which their file is examined</w:t>
      </w:r>
      <w:r w:rsidRPr="00F66D1A">
        <w:rPr>
          <w:rFonts w:ascii="Times New Roman" w:hAnsi="Times New Roman" w:cs="Times New Roman"/>
          <w:lang w:val="en-GB"/>
        </w:rPr>
        <w:t>.”</w:t>
      </w:r>
      <w:r w:rsidRPr="00F66D1A">
        <w:rPr>
          <w:rStyle w:val="Appelnotedebasdep"/>
          <w:rFonts w:ascii="Times New Roman" w:hAnsi="Times New Roman" w:cs="Times New Roman"/>
          <w:lang w:val="en-GB"/>
        </w:rPr>
        <w:footnoteReference w:id="1"/>
      </w:r>
    </w:p>
    <w:p w14:paraId="1DA9855A" w14:textId="428D1405" w:rsidR="000436CD" w:rsidRPr="00F66D1A" w:rsidRDefault="000436CD" w:rsidP="000436CD">
      <w:pPr>
        <w:spacing w:line="360" w:lineRule="auto"/>
        <w:jc w:val="both"/>
        <w:rPr>
          <w:rFonts w:ascii="Times New Roman" w:hAnsi="Times New Roman" w:cs="Times New Roman"/>
          <w:lang w:val="en-GB"/>
        </w:rPr>
      </w:pPr>
      <w:r w:rsidRPr="00F66D1A">
        <w:rPr>
          <w:rFonts w:ascii="Times New Roman" w:hAnsi="Times New Roman" w:cs="Times New Roman"/>
          <w:lang w:val="en-GB"/>
        </w:rPr>
        <w:t xml:space="preserve">Yet, the notion “right of asylum” referred, in the modern period, to an entirely different legal reality. During the Middle Ages, and continuing through to the 18th century, it was a right of immunity offered temporarily to a fleeing delinquent or criminal having found refuge in a church or in a location offering a secular right of asylum. The many religious migrations that started in the 16th century, with the fracture of the French Reformation, caused the term </w:t>
      </w:r>
      <w:r w:rsidR="00477623" w:rsidRPr="00F66D1A">
        <w:rPr>
          <w:rFonts w:ascii="Times New Roman" w:hAnsi="Times New Roman" w:cs="Times New Roman"/>
          <w:lang w:val="en-GB"/>
        </w:rPr>
        <w:t>“</w:t>
      </w:r>
      <w:r w:rsidRPr="00F66D1A">
        <w:rPr>
          <w:rFonts w:ascii="Times New Roman" w:hAnsi="Times New Roman" w:cs="Times New Roman"/>
          <w:lang w:val="en-GB"/>
        </w:rPr>
        <w:t>asylum</w:t>
      </w:r>
      <w:r w:rsidR="00477623" w:rsidRPr="00F66D1A">
        <w:rPr>
          <w:rFonts w:ascii="Times New Roman" w:hAnsi="Times New Roman" w:cs="Times New Roman"/>
          <w:lang w:val="en-GB"/>
        </w:rPr>
        <w:t>”</w:t>
      </w:r>
      <w:r w:rsidRPr="00F66D1A">
        <w:rPr>
          <w:rFonts w:ascii="Times New Roman" w:hAnsi="Times New Roman" w:cs="Times New Roman"/>
          <w:lang w:val="en-GB"/>
        </w:rPr>
        <w:t xml:space="preserve"> to be redefined to be applied to individuals persecuted due to their faith. This transition from the medieval right of asylum to our modern right of asylum will be at the heart of this conference.</w:t>
      </w:r>
    </w:p>
    <w:p w14:paraId="42255B9B" w14:textId="2B65675C" w:rsidR="00F66009" w:rsidRPr="00F66D1A" w:rsidRDefault="00BB2F2E" w:rsidP="000436CD">
      <w:pPr>
        <w:spacing w:line="360" w:lineRule="auto"/>
        <w:jc w:val="both"/>
        <w:rPr>
          <w:rFonts w:ascii="Times New Roman" w:hAnsi="Times New Roman" w:cs="Times New Roman"/>
          <w:lang w:val="en-GB"/>
        </w:rPr>
      </w:pPr>
      <w:r w:rsidRPr="00F66D1A">
        <w:rPr>
          <w:rFonts w:ascii="Times New Roman" w:hAnsi="Times New Roman" w:cs="Times New Roman"/>
          <w:lang w:val="en-GB"/>
        </w:rPr>
        <w:t>This conference will be centred around the three following areas of focus:</w:t>
      </w:r>
    </w:p>
    <w:p w14:paraId="79A49DAE" w14:textId="53D91DD0" w:rsidR="003C19E0" w:rsidRPr="00F66D1A" w:rsidRDefault="00F66009" w:rsidP="00EC25C8">
      <w:pPr>
        <w:pStyle w:val="Paragraphedeliste"/>
        <w:numPr>
          <w:ilvl w:val="0"/>
          <w:numId w:val="1"/>
        </w:numPr>
        <w:spacing w:line="360" w:lineRule="auto"/>
        <w:jc w:val="both"/>
        <w:rPr>
          <w:rFonts w:ascii="Times New Roman" w:hAnsi="Times New Roman" w:cs="Times New Roman"/>
          <w:lang w:val="en-GB"/>
        </w:rPr>
      </w:pPr>
      <w:r w:rsidRPr="00F66D1A">
        <w:rPr>
          <w:rFonts w:ascii="Times New Roman" w:hAnsi="Times New Roman" w:cs="Times New Roman"/>
          <w:lang w:val="en-GB"/>
        </w:rPr>
        <w:t>The first on the tradition of the medieval right of asylum, its continuity and its transformations throughout the modern period. It will examine the many discussions that it fuel</w:t>
      </w:r>
      <w:r w:rsidR="006138E4">
        <w:rPr>
          <w:rFonts w:ascii="Times New Roman" w:hAnsi="Times New Roman" w:cs="Times New Roman"/>
          <w:lang w:val="en-GB"/>
        </w:rPr>
        <w:t>led</w:t>
      </w:r>
      <w:r w:rsidRPr="00F66D1A">
        <w:rPr>
          <w:rFonts w:ascii="Times New Roman" w:hAnsi="Times New Roman" w:cs="Times New Roman"/>
          <w:lang w:val="en-GB"/>
        </w:rPr>
        <w:t xml:space="preserve"> both in Rome where it </w:t>
      </w:r>
      <w:r w:rsidR="006138E4">
        <w:rPr>
          <w:rFonts w:ascii="Times New Roman" w:hAnsi="Times New Roman" w:cs="Times New Roman"/>
          <w:lang w:val="en-GB"/>
        </w:rPr>
        <w:t>was</w:t>
      </w:r>
      <w:r w:rsidRPr="00F66D1A">
        <w:rPr>
          <w:rFonts w:ascii="Times New Roman" w:hAnsi="Times New Roman" w:cs="Times New Roman"/>
          <w:lang w:val="en-GB"/>
        </w:rPr>
        <w:t xml:space="preserve"> subject to much controversy between canonists, and in the high courts of the French, Dutch, Swiss, English or German justice systems, and particularly within the Imperial Aulic Council (</w:t>
      </w:r>
      <w:r w:rsidRPr="00F66D1A">
        <w:rPr>
          <w:rFonts w:ascii="Times New Roman" w:hAnsi="Times New Roman" w:cs="Times New Roman"/>
          <w:i/>
          <w:iCs/>
          <w:lang w:val="en-GB"/>
        </w:rPr>
        <w:t>Reichshofrat</w:t>
      </w:r>
      <w:r w:rsidRPr="00F66D1A">
        <w:rPr>
          <w:rFonts w:ascii="Times New Roman" w:hAnsi="Times New Roman" w:cs="Times New Roman"/>
          <w:lang w:val="en-GB"/>
        </w:rPr>
        <w:t xml:space="preserve">), a </w:t>
      </w:r>
      <w:r w:rsidRPr="00F66D1A">
        <w:rPr>
          <w:rFonts w:ascii="Times New Roman" w:hAnsi="Times New Roman" w:cs="Times New Roman"/>
          <w:lang w:val="en-GB"/>
        </w:rPr>
        <w:lastRenderedPageBreak/>
        <w:t>tribunal which specifically handled cases relating to the Emperor’s prerogatives. Attention will be paid to the notion of ecclesiastical immunity and to the discussions that this notion generate</w:t>
      </w:r>
      <w:r w:rsidR="006138E4">
        <w:rPr>
          <w:rFonts w:ascii="Times New Roman" w:hAnsi="Times New Roman" w:cs="Times New Roman"/>
          <w:lang w:val="en-GB"/>
        </w:rPr>
        <w:t>d</w:t>
      </w:r>
      <w:r w:rsidRPr="00F66D1A">
        <w:rPr>
          <w:rFonts w:ascii="Times New Roman" w:hAnsi="Times New Roman" w:cs="Times New Roman"/>
          <w:lang w:val="en-GB"/>
        </w:rPr>
        <w:t xml:space="preserve"> when the Church’s vision clashe</w:t>
      </w:r>
      <w:r w:rsidR="006138E4">
        <w:rPr>
          <w:rFonts w:ascii="Times New Roman" w:hAnsi="Times New Roman" w:cs="Times New Roman"/>
          <w:lang w:val="en-GB"/>
        </w:rPr>
        <w:t>d</w:t>
      </w:r>
      <w:r w:rsidRPr="00F66D1A">
        <w:rPr>
          <w:rFonts w:ascii="Times New Roman" w:hAnsi="Times New Roman" w:cs="Times New Roman"/>
          <w:lang w:val="en-GB"/>
        </w:rPr>
        <w:t xml:space="preserve"> with that of political authorities as regards sacred places or those deemed inviolable. In fact, secular authorities progressively grew to condemn the immunities from which other categories benefitted and which were not limited to Catholics alone.</w:t>
      </w:r>
    </w:p>
    <w:p w14:paraId="0BD3B4DF" w14:textId="40DD1BCC" w:rsidR="00F66009" w:rsidRPr="00F66D1A" w:rsidRDefault="00F66009" w:rsidP="00EC25C8">
      <w:pPr>
        <w:pStyle w:val="Paragraphedeliste"/>
        <w:numPr>
          <w:ilvl w:val="0"/>
          <w:numId w:val="1"/>
        </w:numPr>
        <w:spacing w:line="360" w:lineRule="auto"/>
        <w:jc w:val="both"/>
        <w:rPr>
          <w:rFonts w:ascii="Times New Roman" w:hAnsi="Times New Roman" w:cs="Times New Roman"/>
          <w:lang w:val="en-GB"/>
        </w:rPr>
      </w:pPr>
      <w:r w:rsidRPr="00F66D1A">
        <w:rPr>
          <w:rFonts w:ascii="Times New Roman" w:hAnsi="Times New Roman" w:cs="Times New Roman"/>
          <w:lang w:val="en-GB"/>
        </w:rPr>
        <w:t>The second area of focus will touch on asylum and refuge practices as they developed starting in the 16th century, following the religious conflicts that ripped Europe apart. We will cover religious groups as varied as protestants of all persuasions (Lutherans, Bohemian Brethren, French Huguenots, Waldesians, Orange Order, etc.), Jews and Catholics, of English and Irish nationality in particular. We will examine these types of refuge in light of those already practiced during the Middle Ages by certain heretical groups. We will also consider later asylum practices, both religious and political (Jacobites, Orangemen, revolutionary migrations and those carried out in the name of freedom, etc.), from the end of the 17th century to the mid-19th century, without neglecting cultural and economic aspects (writers feeling uncomfortable in their native country and seeking more suitable areas to practice their profession, protectors, shelter, etc.).</w:t>
      </w:r>
    </w:p>
    <w:p w14:paraId="60325A16" w14:textId="2FA50DF9" w:rsidR="003C19E0" w:rsidRPr="00F66D1A" w:rsidRDefault="003C19E0" w:rsidP="00EC25C8">
      <w:pPr>
        <w:pStyle w:val="Paragraphedeliste"/>
        <w:numPr>
          <w:ilvl w:val="0"/>
          <w:numId w:val="1"/>
        </w:numPr>
        <w:spacing w:line="360" w:lineRule="auto"/>
        <w:jc w:val="both"/>
        <w:rPr>
          <w:rFonts w:ascii="Times New Roman" w:hAnsi="Times New Roman" w:cs="Times New Roman"/>
          <w:lang w:val="en-GB"/>
        </w:rPr>
      </w:pPr>
      <w:r w:rsidRPr="00F66D1A">
        <w:rPr>
          <w:rFonts w:ascii="Times New Roman" w:hAnsi="Times New Roman" w:cs="Times New Roman"/>
          <w:lang w:val="en-GB"/>
        </w:rPr>
        <w:t xml:space="preserve">The third area of focus will relate to asylum languages and the establishment of both a political and symbolic geography “of freedom”. How did reception countries become, </w:t>
      </w:r>
      <w:r w:rsidR="00477623" w:rsidRPr="00F66D1A">
        <w:rPr>
          <w:rFonts w:ascii="Times New Roman" w:hAnsi="Times New Roman" w:cs="Times New Roman"/>
          <w:lang w:val="en-GB"/>
        </w:rPr>
        <w:t>as from</w:t>
      </w:r>
      <w:r w:rsidRPr="00F66D1A">
        <w:rPr>
          <w:rFonts w:ascii="Times New Roman" w:hAnsi="Times New Roman" w:cs="Times New Roman"/>
          <w:lang w:val="en-GB"/>
        </w:rPr>
        <w:t xml:space="preserve"> the 17th century and especially in the 18th century, the home of an intense intellectual output enabling the emergence of the concepts of freedom of conscience and tolerance as demonstrated by Hubert Bost’s works</w:t>
      </w:r>
      <w:r w:rsidRPr="00F66D1A">
        <w:rPr>
          <w:rStyle w:val="Appelnotedebasdep"/>
          <w:rFonts w:ascii="Times New Roman" w:hAnsi="Times New Roman" w:cs="Times New Roman"/>
          <w:lang w:val="en-GB"/>
        </w:rPr>
        <w:footnoteReference w:id="2"/>
      </w:r>
      <w:r w:rsidRPr="00F66D1A">
        <w:rPr>
          <w:rFonts w:ascii="Times New Roman" w:hAnsi="Times New Roman" w:cs="Times New Roman"/>
          <w:lang w:val="en-GB"/>
        </w:rPr>
        <w:t xml:space="preserve">? How did the image of an “asylum of freedom” take form, both in theory and in </w:t>
      </w:r>
      <w:r w:rsidR="006138E4">
        <w:rPr>
          <w:rFonts w:ascii="Times New Roman" w:hAnsi="Times New Roman" w:cs="Times New Roman"/>
          <w:lang w:val="en-GB"/>
        </w:rPr>
        <w:t>fiction</w:t>
      </w:r>
      <w:r w:rsidRPr="00F66D1A">
        <w:rPr>
          <w:rFonts w:ascii="Times New Roman" w:hAnsi="Times New Roman" w:cs="Times New Roman"/>
          <w:lang w:val="en-GB"/>
        </w:rPr>
        <w:t xml:space="preserve"> through libertine literature </w:t>
      </w:r>
      <w:r w:rsidR="00477623" w:rsidRPr="00F66D1A">
        <w:rPr>
          <w:rFonts w:ascii="Times New Roman" w:hAnsi="Times New Roman" w:cs="Times New Roman"/>
          <w:lang w:val="en-GB"/>
        </w:rPr>
        <w:t xml:space="preserve">starting in </w:t>
      </w:r>
      <w:r w:rsidRPr="00F66D1A">
        <w:rPr>
          <w:rFonts w:ascii="Times New Roman" w:hAnsi="Times New Roman" w:cs="Times New Roman"/>
          <w:lang w:val="en-GB"/>
        </w:rPr>
        <w:t xml:space="preserve">the 17th century, and how did it simultaneously cause the creation of an actual European geography of places of asylum between the 17th and 19th century? Outside of North America, this perception of space applied both to cities (Venice, Geneva, Paris, London, Brussels, Amsterdam) and to countries (Prussia, Dutch Republic, England, etc.). These were </w:t>
      </w:r>
      <w:r w:rsidR="006138E4">
        <w:rPr>
          <w:rFonts w:ascii="Times New Roman" w:hAnsi="Times New Roman" w:cs="Times New Roman"/>
          <w:lang w:val="en-GB"/>
        </w:rPr>
        <w:t>regarded</w:t>
      </w:r>
      <w:r w:rsidRPr="00F66D1A">
        <w:rPr>
          <w:rFonts w:ascii="Times New Roman" w:hAnsi="Times New Roman" w:cs="Times New Roman"/>
          <w:lang w:val="en-GB"/>
        </w:rPr>
        <w:t xml:space="preserve">, in the long-term, albeit with </w:t>
      </w:r>
      <w:r w:rsidRPr="00F66D1A">
        <w:rPr>
          <w:rFonts w:ascii="Times New Roman" w:hAnsi="Times New Roman" w:cs="Times New Roman"/>
          <w:lang w:val="en-GB"/>
        </w:rPr>
        <w:lastRenderedPageBreak/>
        <w:t>variations, as reception places guaranteeing foreign individuals a freedom that they did not benefit from in their place of origin.</w:t>
      </w:r>
    </w:p>
    <w:p w14:paraId="5E4C4FF4" w14:textId="2D5CE283" w:rsidR="00BB2F2E" w:rsidRPr="00F66D1A" w:rsidRDefault="00BB2F2E" w:rsidP="00BB2F2E">
      <w:pPr>
        <w:spacing w:line="360" w:lineRule="auto"/>
        <w:jc w:val="both"/>
        <w:rPr>
          <w:rFonts w:ascii="Times New Roman" w:hAnsi="Times New Roman" w:cs="Times New Roman"/>
          <w:lang w:val="en-GB"/>
        </w:rPr>
      </w:pPr>
    </w:p>
    <w:p w14:paraId="3BCA6A1B" w14:textId="46FF00E4" w:rsidR="00F939F8" w:rsidRPr="00F66D1A" w:rsidRDefault="006102B0" w:rsidP="00045371">
      <w:pPr>
        <w:pStyle w:val="Paragraphedeliste"/>
        <w:spacing w:line="360" w:lineRule="auto"/>
        <w:ind w:left="0"/>
        <w:jc w:val="both"/>
        <w:rPr>
          <w:rFonts w:ascii="Times New Roman" w:hAnsi="Times New Roman" w:cs="Times New Roman"/>
          <w:lang w:val="en-GB"/>
        </w:rPr>
      </w:pPr>
      <w:r w:rsidRPr="00F66D1A">
        <w:rPr>
          <w:rFonts w:ascii="Times New Roman" w:hAnsi="Times New Roman" w:cs="Times New Roman"/>
          <w:lang w:val="en-GB"/>
        </w:rPr>
        <w:t xml:space="preserve">This conference will take place at the Ca’ Foscari University of Venice. </w:t>
      </w:r>
      <w:r w:rsidRPr="006138E4">
        <w:rPr>
          <w:rFonts w:ascii="Times New Roman" w:hAnsi="Times New Roman" w:cs="Times New Roman"/>
        </w:rPr>
        <w:t>I</w:t>
      </w:r>
      <w:r w:rsidR="002F221B" w:rsidRPr="006138E4">
        <w:rPr>
          <w:rFonts w:ascii="Times New Roman" w:hAnsi="Times New Roman" w:cs="Times New Roman"/>
        </w:rPr>
        <w:t>t is part of the É</w:t>
      </w:r>
      <w:r w:rsidRPr="006138E4">
        <w:rPr>
          <w:rFonts w:ascii="Times New Roman" w:hAnsi="Times New Roman" w:cs="Times New Roman"/>
        </w:rPr>
        <w:t>cole Française de Rome’s</w:t>
      </w:r>
      <w:r w:rsidR="006138E4">
        <w:rPr>
          <w:rFonts w:ascii="Times New Roman" w:hAnsi="Times New Roman" w:cs="Times New Roman"/>
        </w:rPr>
        <w:t xml:space="preserve"> 2017-2021</w:t>
      </w:r>
      <w:r w:rsidRPr="006138E4">
        <w:rPr>
          <w:rFonts w:ascii="Times New Roman" w:hAnsi="Times New Roman" w:cs="Times New Roman"/>
        </w:rPr>
        <w:t xml:space="preserve"> five-year programme </w:t>
      </w:r>
      <w:r w:rsidRPr="006138E4">
        <w:rPr>
          <w:rFonts w:ascii="Times New Roman" w:hAnsi="Times New Roman" w:cs="Times New Roman"/>
          <w:i/>
          <w:iCs/>
        </w:rPr>
        <w:t>Administrer l’étranger. Mobilités, diplomaties et hospitalité, Italie - Europe (XIV</w:t>
      </w:r>
      <w:r w:rsidRPr="006138E4">
        <w:rPr>
          <w:rFonts w:ascii="Times New Roman" w:hAnsi="Times New Roman" w:cs="Times New Roman"/>
          <w:i/>
          <w:iCs/>
          <w:vertAlign w:val="superscript"/>
        </w:rPr>
        <w:t>e</w:t>
      </w:r>
      <w:r w:rsidRPr="006138E4">
        <w:rPr>
          <w:rFonts w:ascii="Times New Roman" w:hAnsi="Times New Roman" w:cs="Times New Roman"/>
          <w:i/>
          <w:iCs/>
        </w:rPr>
        <w:t>-mi XIX</w:t>
      </w:r>
      <w:r w:rsidRPr="006138E4">
        <w:rPr>
          <w:rFonts w:ascii="Times New Roman" w:hAnsi="Times New Roman" w:cs="Times New Roman"/>
          <w:i/>
          <w:iCs/>
          <w:vertAlign w:val="superscript"/>
        </w:rPr>
        <w:t>e</w:t>
      </w:r>
      <w:r w:rsidRPr="006138E4">
        <w:rPr>
          <w:rFonts w:ascii="Times New Roman" w:hAnsi="Times New Roman" w:cs="Times New Roman"/>
          <w:i/>
          <w:iCs/>
        </w:rPr>
        <w:t xml:space="preserve"> siècle) (Foreign management. </w:t>
      </w:r>
      <w:r w:rsidRPr="00F66D1A">
        <w:rPr>
          <w:rFonts w:ascii="Times New Roman" w:hAnsi="Times New Roman" w:cs="Times New Roman"/>
          <w:i/>
          <w:iCs/>
          <w:lang w:val="en-GB"/>
        </w:rPr>
        <w:t>Mobility, Diplomacy and Hospitality, Italy-Europe (14th - mid-19th century)</w:t>
      </w:r>
      <w:r w:rsidRPr="00F66D1A">
        <w:rPr>
          <w:rFonts w:ascii="Times New Roman" w:hAnsi="Times New Roman" w:cs="Times New Roman"/>
          <w:lang w:val="en-GB"/>
        </w:rPr>
        <w:t>, led by the Grenoble Alpes University (LUHCIE), the Paris Est Créteil University (CRHEC) and Paris Panthéon Sorbonne University (IHMC).</w:t>
      </w:r>
    </w:p>
    <w:p w14:paraId="5C725BDB" w14:textId="3898EB42" w:rsidR="006102B0" w:rsidRPr="00F66D1A" w:rsidRDefault="00501700" w:rsidP="000436CD">
      <w:pPr>
        <w:jc w:val="both"/>
        <w:rPr>
          <w:rFonts w:ascii="Times New Roman" w:hAnsi="Times New Roman" w:cs="Times New Roman"/>
          <w:lang w:val="en-GB"/>
        </w:rPr>
      </w:pPr>
      <w:hyperlink r:id="rId8" w:anchor="Administrer" w:history="1">
        <w:r w:rsidR="00CE241C" w:rsidRPr="00F66D1A">
          <w:rPr>
            <w:rStyle w:val="Lienhypertexte"/>
            <w:rFonts w:ascii="Times New Roman" w:hAnsi="Times New Roman" w:cs="Times New Roman"/>
            <w:lang w:val="en-GB"/>
          </w:rPr>
          <w:t>http://luhcie.univ-grenoble-alpes.fr/programmes-de-recherche/#Administrer</w:t>
        </w:r>
      </w:hyperlink>
    </w:p>
    <w:p w14:paraId="7CE46867" w14:textId="77777777" w:rsidR="006F40CC" w:rsidRPr="00F66D1A" w:rsidRDefault="006F40CC" w:rsidP="000436CD">
      <w:pPr>
        <w:jc w:val="both"/>
        <w:rPr>
          <w:rFonts w:ascii="Times New Roman" w:hAnsi="Times New Roman" w:cs="Times New Roman"/>
          <w:lang w:val="en-GB"/>
        </w:rPr>
      </w:pPr>
    </w:p>
    <w:p w14:paraId="77820DBF" w14:textId="04639F56" w:rsidR="006F40CC" w:rsidRPr="00F66D1A" w:rsidRDefault="00501700" w:rsidP="000436CD">
      <w:pPr>
        <w:jc w:val="both"/>
        <w:rPr>
          <w:rFonts w:ascii="Times New Roman" w:hAnsi="Times New Roman" w:cs="Times New Roman"/>
          <w:lang w:val="en-GB"/>
        </w:rPr>
      </w:pPr>
      <w:hyperlink r:id="rId9" w:history="1">
        <w:r w:rsidR="00CE241C" w:rsidRPr="00F66D1A">
          <w:rPr>
            <w:rStyle w:val="Lienhypertexte"/>
            <w:rFonts w:ascii="Times New Roman" w:hAnsi="Times New Roman" w:cs="Times New Roman"/>
            <w:lang w:val="en-GB"/>
          </w:rPr>
          <w:t>http://www.efrome.it/la-recherche/programmes/programmes-scientifiques-2017-2021/adminetr.html</w:t>
        </w:r>
      </w:hyperlink>
    </w:p>
    <w:p w14:paraId="7945C37A" w14:textId="77777777" w:rsidR="006F40CC" w:rsidRPr="00F66D1A" w:rsidRDefault="006F40CC" w:rsidP="000436CD">
      <w:pPr>
        <w:jc w:val="both"/>
        <w:rPr>
          <w:rFonts w:ascii="Times New Roman" w:hAnsi="Times New Roman" w:cs="Times New Roman"/>
          <w:lang w:val="en-GB"/>
        </w:rPr>
      </w:pPr>
    </w:p>
    <w:p w14:paraId="2A3ACDBB" w14:textId="77777777" w:rsidR="006102B0" w:rsidRPr="00F66D1A" w:rsidRDefault="006102B0" w:rsidP="000436CD">
      <w:pPr>
        <w:jc w:val="both"/>
        <w:rPr>
          <w:rFonts w:ascii="Times New Roman" w:hAnsi="Times New Roman" w:cs="Times New Roman"/>
          <w:lang w:val="en-GB"/>
        </w:rPr>
      </w:pPr>
    </w:p>
    <w:p w14:paraId="6186202A" w14:textId="77777777" w:rsidR="006F40CC" w:rsidRPr="00F66D1A" w:rsidRDefault="006F40CC" w:rsidP="000436CD">
      <w:pPr>
        <w:jc w:val="both"/>
        <w:rPr>
          <w:rFonts w:ascii="Times New Roman" w:hAnsi="Times New Roman" w:cs="Times New Roman"/>
          <w:lang w:val="en-GB"/>
        </w:rPr>
      </w:pPr>
    </w:p>
    <w:p w14:paraId="59494653" w14:textId="468CCCD1" w:rsidR="00882188" w:rsidRPr="00F66D1A" w:rsidRDefault="003C19E0" w:rsidP="000436CD">
      <w:pPr>
        <w:jc w:val="both"/>
        <w:rPr>
          <w:rFonts w:ascii="Times New Roman" w:hAnsi="Times New Roman" w:cs="Times New Roman"/>
          <w:lang w:val="en-GB"/>
        </w:rPr>
      </w:pPr>
      <w:r w:rsidRPr="00F66D1A">
        <w:rPr>
          <w:rFonts w:ascii="Times New Roman" w:hAnsi="Times New Roman" w:cs="Times New Roman"/>
          <w:lang w:val="en-GB"/>
        </w:rPr>
        <w:t xml:space="preserve">Paper proposals of approximately 500 words accompanied by a short bio-bibliography (5 to 10 lines) should be sent to the organisers </w:t>
      </w:r>
      <w:r w:rsidRPr="00F66D1A">
        <w:rPr>
          <w:rFonts w:ascii="Times New Roman" w:hAnsi="Times New Roman" w:cs="Times New Roman"/>
          <w:b/>
          <w:u w:val="single"/>
          <w:lang w:val="en-GB"/>
        </w:rPr>
        <w:t xml:space="preserve">by </w:t>
      </w:r>
      <w:r w:rsidR="00416B23">
        <w:rPr>
          <w:rFonts w:ascii="Times New Roman" w:hAnsi="Times New Roman" w:cs="Times New Roman"/>
          <w:b/>
          <w:bCs/>
          <w:u w:val="single"/>
          <w:lang w:val="en-GB"/>
        </w:rPr>
        <w:t>5 Novem</w:t>
      </w:r>
      <w:r w:rsidRPr="00F66D1A">
        <w:rPr>
          <w:rFonts w:ascii="Times New Roman" w:hAnsi="Times New Roman" w:cs="Times New Roman"/>
          <w:b/>
          <w:bCs/>
          <w:u w:val="single"/>
          <w:lang w:val="en-GB"/>
        </w:rPr>
        <w:t>ber 2018</w:t>
      </w:r>
      <w:r w:rsidRPr="00F66D1A">
        <w:rPr>
          <w:rFonts w:ascii="Times New Roman" w:hAnsi="Times New Roman" w:cs="Times New Roman"/>
          <w:lang w:val="en-GB"/>
        </w:rPr>
        <w:t xml:space="preserve">: </w:t>
      </w:r>
      <w:hyperlink r:id="rId10" w:history="1">
        <w:r w:rsidRPr="00F66D1A">
          <w:rPr>
            <w:rStyle w:val="Lienhypertexte"/>
            <w:rFonts w:ascii="Times New Roman" w:hAnsi="Times New Roman" w:cs="Times New Roman"/>
            <w:lang w:val="en-GB"/>
          </w:rPr>
          <w:t>infelise@unive.it</w:t>
        </w:r>
      </w:hyperlink>
      <w:r w:rsidRPr="00F66D1A">
        <w:rPr>
          <w:rFonts w:ascii="Times New Roman" w:hAnsi="Times New Roman" w:cs="Times New Roman"/>
          <w:lang w:val="en-GB"/>
        </w:rPr>
        <w:t xml:space="preserve">, </w:t>
      </w:r>
      <w:hyperlink r:id="rId11" w:history="1">
        <w:r w:rsidRPr="00F66D1A">
          <w:rPr>
            <w:rStyle w:val="Lienhypertexte"/>
            <w:rFonts w:ascii="Times New Roman" w:hAnsi="Times New Roman" w:cs="Times New Roman"/>
            <w:lang w:val="en-GB"/>
          </w:rPr>
          <w:t>gilles.bertrand@univ-grenoble-alpes.fr</w:t>
        </w:r>
      </w:hyperlink>
      <w:r w:rsidRPr="00F66D1A">
        <w:rPr>
          <w:rFonts w:ascii="Times New Roman" w:hAnsi="Times New Roman" w:cs="Times New Roman"/>
          <w:lang w:val="en-GB"/>
        </w:rPr>
        <w:t xml:space="preserve"> and </w:t>
      </w:r>
      <w:hyperlink r:id="rId12" w:history="1">
        <w:r w:rsidRPr="00F66D1A">
          <w:rPr>
            <w:rStyle w:val="Lienhypertexte"/>
            <w:rFonts w:ascii="Times New Roman" w:hAnsi="Times New Roman" w:cs="Times New Roman"/>
            <w:lang w:val="en-GB"/>
          </w:rPr>
          <w:t>naima.ghermani@univ-grenoble-alpes.fr</w:t>
        </w:r>
      </w:hyperlink>
    </w:p>
    <w:p w14:paraId="03BF4918" w14:textId="77777777" w:rsidR="003C19E0" w:rsidRPr="00F66D1A" w:rsidRDefault="003C19E0" w:rsidP="000436CD">
      <w:pPr>
        <w:jc w:val="both"/>
        <w:rPr>
          <w:rFonts w:ascii="Times New Roman" w:hAnsi="Times New Roman" w:cs="Times New Roman"/>
          <w:lang w:val="en-GB"/>
        </w:rPr>
      </w:pPr>
    </w:p>
    <w:p w14:paraId="5CD18F8E" w14:textId="77777777" w:rsidR="003C19E0" w:rsidRPr="00F66D1A" w:rsidRDefault="003C19E0" w:rsidP="000436CD">
      <w:pPr>
        <w:jc w:val="both"/>
        <w:rPr>
          <w:rFonts w:ascii="Times New Roman" w:hAnsi="Times New Roman" w:cs="Times New Roman"/>
          <w:lang w:val="en-GB"/>
        </w:rPr>
      </w:pPr>
    </w:p>
    <w:p w14:paraId="6E7D26B4" w14:textId="6F40EC57" w:rsidR="003C19E0" w:rsidRPr="00F66D1A" w:rsidRDefault="003C19E0" w:rsidP="000436CD">
      <w:pPr>
        <w:jc w:val="both"/>
        <w:rPr>
          <w:rFonts w:ascii="Times New Roman" w:hAnsi="Times New Roman" w:cs="Times New Roman"/>
          <w:b/>
          <w:lang w:val="en-GB"/>
        </w:rPr>
      </w:pPr>
      <w:r w:rsidRPr="00F66D1A">
        <w:rPr>
          <w:rFonts w:ascii="Times New Roman" w:hAnsi="Times New Roman" w:cs="Times New Roman"/>
          <w:b/>
          <w:bCs/>
          <w:lang w:val="en-GB"/>
        </w:rPr>
        <w:t>Conference organised by Mario Infelise (Ca’ Foscari, Venice) Gilles Bertrand and Naïma Ghermani (Grenoble Alpes University LUH</w:t>
      </w:r>
      <w:r w:rsidR="002F221B">
        <w:rPr>
          <w:rFonts w:ascii="Times New Roman" w:hAnsi="Times New Roman" w:cs="Times New Roman"/>
          <w:b/>
          <w:bCs/>
          <w:lang w:val="en-GB"/>
        </w:rPr>
        <w:t>CIE) in collaboration with the É</w:t>
      </w:r>
      <w:r w:rsidRPr="00F66D1A">
        <w:rPr>
          <w:rFonts w:ascii="Times New Roman" w:hAnsi="Times New Roman" w:cs="Times New Roman"/>
          <w:b/>
          <w:bCs/>
          <w:lang w:val="en-GB"/>
        </w:rPr>
        <w:t>cole Française de Rome and the other members of the steering committee.</w:t>
      </w:r>
    </w:p>
    <w:p w14:paraId="12346CD6" w14:textId="77777777" w:rsidR="00BB2F2E" w:rsidRPr="00F66D1A" w:rsidRDefault="00BB2F2E" w:rsidP="000436CD">
      <w:pPr>
        <w:jc w:val="both"/>
        <w:rPr>
          <w:rFonts w:ascii="Times New Roman" w:hAnsi="Times New Roman" w:cs="Times New Roman"/>
          <w:b/>
          <w:lang w:val="en-GB"/>
        </w:rPr>
      </w:pPr>
    </w:p>
    <w:p w14:paraId="004019CC" w14:textId="77777777" w:rsidR="00BB2F2E" w:rsidRPr="00F66D1A" w:rsidRDefault="00BB2F2E" w:rsidP="000436CD">
      <w:pPr>
        <w:jc w:val="both"/>
        <w:rPr>
          <w:rFonts w:ascii="Times New Roman" w:hAnsi="Times New Roman" w:cs="Times New Roman"/>
          <w:b/>
          <w:lang w:val="en-GB"/>
        </w:rPr>
      </w:pPr>
    </w:p>
    <w:p w14:paraId="362A6899" w14:textId="334FD297" w:rsidR="00BB2F2E" w:rsidRPr="00F66D1A" w:rsidRDefault="00BB2F2E" w:rsidP="000436CD">
      <w:pPr>
        <w:jc w:val="both"/>
        <w:rPr>
          <w:rFonts w:ascii="Times New Roman" w:hAnsi="Times New Roman" w:cs="Times New Roman"/>
          <w:b/>
          <w:lang w:val="en-GB"/>
        </w:rPr>
      </w:pPr>
    </w:p>
    <w:p w14:paraId="6B1BB1EB" w14:textId="77777777" w:rsidR="00882188" w:rsidRPr="00F66D1A" w:rsidRDefault="00882188">
      <w:pPr>
        <w:rPr>
          <w:rFonts w:ascii="Times New Roman" w:hAnsi="Times New Roman" w:cs="Times New Roman"/>
          <w:lang w:val="en-GB"/>
        </w:rPr>
      </w:pPr>
    </w:p>
    <w:p w14:paraId="7FF4EDA3" w14:textId="77777777" w:rsidR="001275C0" w:rsidRPr="00F66D1A" w:rsidRDefault="001275C0">
      <w:pPr>
        <w:rPr>
          <w:lang w:val="en-GB"/>
        </w:rPr>
      </w:pPr>
    </w:p>
    <w:p w14:paraId="0002A628" w14:textId="77777777" w:rsidR="00882188" w:rsidRPr="00F66D1A" w:rsidRDefault="00882188">
      <w:pPr>
        <w:rPr>
          <w:lang w:val="en-GB"/>
        </w:rPr>
      </w:pPr>
    </w:p>
    <w:sectPr w:rsidR="00882188" w:rsidRPr="00F66D1A" w:rsidSect="00C34F07">
      <w:footerReference w:type="even" r:id="rId13"/>
      <w:footerReference w:type="default" r:id="rId14"/>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4A984" w16cid:durableId="1F4E1CCF"/>
  <w16cid:commentId w16cid:paraId="6E4DD446" w16cid:durableId="1F4E1CE8"/>
  <w16cid:commentId w16cid:paraId="1F4B01F9" w16cid:durableId="1F4E1CD0"/>
  <w16cid:commentId w16cid:paraId="5A52B38A" w16cid:durableId="1F4E1CEC"/>
  <w16cid:commentId w16cid:paraId="6899D6D4" w16cid:durableId="1F4E1CD1"/>
  <w16cid:commentId w16cid:paraId="4B59A973" w16cid:durableId="1F4E1CFA"/>
  <w16cid:commentId w16cid:paraId="0170E746" w16cid:durableId="1F4E1CD2"/>
  <w16cid:commentId w16cid:paraId="6D96103E" w16cid:durableId="1F4E1CFD"/>
  <w16cid:commentId w16cid:paraId="7D803E64" w16cid:durableId="1F4E1D2D"/>
  <w16cid:commentId w16cid:paraId="626A0547" w16cid:durableId="1F4E1CD4"/>
  <w16cid:commentId w16cid:paraId="52346CF5" w16cid:durableId="1F4E1D32"/>
  <w16cid:commentId w16cid:paraId="7CE72694" w16cid:durableId="1F4E1CD5"/>
  <w16cid:commentId w16cid:paraId="6678B736" w16cid:durableId="1F4E1E87"/>
  <w16cid:commentId w16cid:paraId="3027252E" w16cid:durableId="1F4E1E58"/>
  <w16cid:commentId w16cid:paraId="180F050B" w16cid:durableId="1F4E1CD7"/>
  <w16cid:commentId w16cid:paraId="3FD207AA" w16cid:durableId="1F4E1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C19B" w14:textId="77777777" w:rsidR="00673226" w:rsidRDefault="00673226" w:rsidP="000436CD">
      <w:r>
        <w:separator/>
      </w:r>
    </w:p>
  </w:endnote>
  <w:endnote w:type="continuationSeparator" w:id="0">
    <w:p w14:paraId="6A58DE63" w14:textId="77777777" w:rsidR="00673226" w:rsidRDefault="00673226" w:rsidP="0004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5F47" w14:textId="77777777" w:rsidR="0001665C" w:rsidRDefault="0001665C" w:rsidP="00EC25C8">
    <w:pPr>
      <w:pStyle w:val="Pieddepage"/>
      <w:framePr w:wrap="none" w:vAnchor="text" w:hAnchor="margin" w:xAlign="center" w:y="1"/>
      <w:rPr>
        <w:rStyle w:val="Numrodepage"/>
      </w:rPr>
    </w:pPr>
    <w:r>
      <w:rPr>
        <w:rStyle w:val="Numrodepage"/>
        <w:lang w:val="en-GB"/>
      </w:rPr>
      <w:fldChar w:fldCharType="begin"/>
    </w:r>
    <w:r>
      <w:rPr>
        <w:rStyle w:val="Numrodepage"/>
        <w:lang w:val="en-GB"/>
      </w:rPr>
      <w:instrText xml:space="preserve">PAGE  </w:instrText>
    </w:r>
    <w:r>
      <w:rPr>
        <w:rStyle w:val="Numrodepage"/>
        <w:lang w:val="en-GB"/>
      </w:rPr>
      <w:fldChar w:fldCharType="end"/>
    </w:r>
  </w:p>
  <w:p w14:paraId="76E96EF3" w14:textId="77777777" w:rsidR="0001665C" w:rsidRDefault="000166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7C84" w14:textId="529B8CA8" w:rsidR="0001665C" w:rsidRDefault="0001665C" w:rsidP="00EC25C8">
    <w:pPr>
      <w:pStyle w:val="Pieddepage"/>
      <w:framePr w:wrap="none" w:vAnchor="text" w:hAnchor="margin" w:xAlign="center" w:y="1"/>
      <w:rPr>
        <w:rStyle w:val="Numrodepage"/>
      </w:rPr>
    </w:pPr>
    <w:r>
      <w:rPr>
        <w:rStyle w:val="Numrodepage"/>
        <w:lang w:val="en-GB"/>
      </w:rPr>
      <w:fldChar w:fldCharType="begin"/>
    </w:r>
    <w:r>
      <w:rPr>
        <w:rStyle w:val="Numrodepage"/>
        <w:lang w:val="en-GB"/>
      </w:rPr>
      <w:instrText xml:space="preserve">PAGE  </w:instrText>
    </w:r>
    <w:r>
      <w:rPr>
        <w:rStyle w:val="Numrodepage"/>
        <w:lang w:val="en-GB"/>
      </w:rPr>
      <w:fldChar w:fldCharType="separate"/>
    </w:r>
    <w:r w:rsidR="00501700">
      <w:rPr>
        <w:rStyle w:val="Numrodepage"/>
        <w:noProof/>
        <w:lang w:val="en-GB"/>
      </w:rPr>
      <w:t>1</w:t>
    </w:r>
    <w:r>
      <w:rPr>
        <w:rStyle w:val="Numrodepage"/>
        <w:lang w:val="en-GB"/>
      </w:rPr>
      <w:fldChar w:fldCharType="end"/>
    </w:r>
  </w:p>
  <w:p w14:paraId="7A1E5E24" w14:textId="77777777" w:rsidR="0001665C" w:rsidRDefault="00016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2B91" w14:textId="77777777" w:rsidR="00673226" w:rsidRDefault="00673226" w:rsidP="000436CD">
      <w:r>
        <w:separator/>
      </w:r>
    </w:p>
  </w:footnote>
  <w:footnote w:type="continuationSeparator" w:id="0">
    <w:p w14:paraId="74B9DB14" w14:textId="77777777" w:rsidR="00673226" w:rsidRDefault="00673226" w:rsidP="000436CD">
      <w:r>
        <w:continuationSeparator/>
      </w:r>
    </w:p>
  </w:footnote>
  <w:footnote w:id="1">
    <w:p w14:paraId="2C81B4A2" w14:textId="47395B85" w:rsidR="0001665C" w:rsidRPr="00477623" w:rsidRDefault="0001665C">
      <w:pPr>
        <w:pStyle w:val="Notedebasdepage"/>
        <w:rPr>
          <w:rFonts w:ascii="Times New Roman" w:hAnsi="Times New Roman"/>
          <w:sz w:val="20"/>
          <w:szCs w:val="20"/>
          <w:lang w:val="en-GB"/>
        </w:rPr>
      </w:pPr>
      <w:r>
        <w:rPr>
          <w:rStyle w:val="Appelnotedebasdep"/>
          <w:rFonts w:ascii="Times New Roman" w:hAnsi="Times New Roman"/>
          <w:sz w:val="20"/>
          <w:szCs w:val="20"/>
          <w:lang w:val="en-GB"/>
        </w:rPr>
        <w:footnoteRef/>
      </w:r>
      <w:r>
        <w:rPr>
          <w:rFonts w:ascii="Times New Roman" w:hAnsi="Times New Roman"/>
          <w:sz w:val="20"/>
          <w:szCs w:val="20"/>
          <w:lang w:val="en-GB"/>
        </w:rPr>
        <w:t xml:space="preserve"> French Ministry of the Interior Website.</w:t>
      </w:r>
    </w:p>
  </w:footnote>
  <w:footnote w:id="2">
    <w:p w14:paraId="763C2B57" w14:textId="7E194FFA" w:rsidR="0001665C" w:rsidRPr="00F939F8" w:rsidRDefault="0001665C" w:rsidP="00BB2F2E">
      <w:pPr>
        <w:spacing w:line="276" w:lineRule="auto"/>
        <w:jc w:val="both"/>
        <w:rPr>
          <w:rFonts w:ascii="Times New Roman" w:hAnsi="Times New Roman" w:cs="Times New Roman"/>
          <w:sz w:val="20"/>
          <w:szCs w:val="20"/>
        </w:rPr>
      </w:pPr>
      <w:r>
        <w:rPr>
          <w:rStyle w:val="Appelnotedebasdep"/>
          <w:rFonts w:ascii="Times New Roman" w:hAnsi="Times New Roman" w:cs="Times New Roman"/>
          <w:sz w:val="20"/>
          <w:szCs w:val="20"/>
          <w:lang w:val="en-GB"/>
        </w:rPr>
        <w:footnoteRef/>
      </w:r>
      <w:r w:rsidR="00947ED2" w:rsidRPr="00947ED2">
        <w:rPr>
          <w:rFonts w:ascii="Times New Roman" w:hAnsi="Times New Roman" w:cs="Times New Roman"/>
          <w:sz w:val="20"/>
          <w:szCs w:val="20"/>
        </w:rPr>
        <w:t xml:space="preserve"> </w:t>
      </w:r>
      <w:r w:rsidRPr="00477623">
        <w:rPr>
          <w:rFonts w:ascii="Times New Roman" w:hAnsi="Times New Roman" w:cs="Times New Roman"/>
          <w:sz w:val="20"/>
          <w:szCs w:val="20"/>
        </w:rPr>
        <w:t xml:space="preserve">Hubert Bost, </w:t>
      </w:r>
      <w:r w:rsidRPr="00477623">
        <w:rPr>
          <w:rFonts w:ascii="Times New Roman" w:hAnsi="Times New Roman" w:cs="Times New Roman"/>
          <w:i/>
          <w:iCs/>
          <w:sz w:val="20"/>
          <w:szCs w:val="20"/>
        </w:rPr>
        <w:t xml:space="preserve">Ces messieurs de la R.P.R. Histoires et écritures de huguenots, XVIIe-XVIIIe siècle (The Gentlemen of the RPR. </w:t>
      </w:r>
      <w:r>
        <w:rPr>
          <w:rFonts w:ascii="Times New Roman" w:hAnsi="Times New Roman" w:cs="Times New Roman"/>
          <w:i/>
          <w:iCs/>
          <w:sz w:val="20"/>
          <w:szCs w:val="20"/>
          <w:lang w:val="en-GB"/>
        </w:rPr>
        <w:t>History and writings of the Huguenots, 17th-18th century)</w:t>
      </w:r>
      <w:r>
        <w:rPr>
          <w:rFonts w:ascii="Times New Roman" w:hAnsi="Times New Roman" w:cs="Times New Roman"/>
          <w:sz w:val="20"/>
          <w:szCs w:val="20"/>
          <w:lang w:val="en-GB"/>
        </w:rPr>
        <w:t>, Paris, H. Champion, 2001, and in particular Chapter 12 « Le Refuge huguenot, un laboratoire de la tolérance ? » (“The Huguenot refuge, a laboratory of tolerance?”) p. 302-323.</w:t>
      </w:r>
    </w:p>
    <w:p w14:paraId="1F58595C" w14:textId="7DDF2FDD" w:rsidR="0001665C" w:rsidRPr="00F939F8" w:rsidRDefault="0001665C">
      <w:pPr>
        <w:pStyle w:val="Notedebasdepage"/>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B62F0"/>
    <w:multiLevelType w:val="hybridMultilevel"/>
    <w:tmpl w:val="C2DCE694"/>
    <w:lvl w:ilvl="0" w:tplc="68AE50B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C0"/>
    <w:rsid w:val="00007F55"/>
    <w:rsid w:val="000107A8"/>
    <w:rsid w:val="0001665C"/>
    <w:rsid w:val="000436CD"/>
    <w:rsid w:val="00045371"/>
    <w:rsid w:val="000B572A"/>
    <w:rsid w:val="000F539B"/>
    <w:rsid w:val="000F5CF3"/>
    <w:rsid w:val="001275C0"/>
    <w:rsid w:val="00180547"/>
    <w:rsid w:val="00220C6F"/>
    <w:rsid w:val="00257A86"/>
    <w:rsid w:val="00265D4E"/>
    <w:rsid w:val="002E5CA5"/>
    <w:rsid w:val="002F221B"/>
    <w:rsid w:val="00383C3A"/>
    <w:rsid w:val="003A15CA"/>
    <w:rsid w:val="003C19E0"/>
    <w:rsid w:val="003D4555"/>
    <w:rsid w:val="00416B23"/>
    <w:rsid w:val="00477623"/>
    <w:rsid w:val="00501700"/>
    <w:rsid w:val="00503135"/>
    <w:rsid w:val="00573062"/>
    <w:rsid w:val="005B1FBB"/>
    <w:rsid w:val="006102B0"/>
    <w:rsid w:val="006138E4"/>
    <w:rsid w:val="00643D4E"/>
    <w:rsid w:val="00673226"/>
    <w:rsid w:val="006F40CC"/>
    <w:rsid w:val="0078484E"/>
    <w:rsid w:val="007E22E2"/>
    <w:rsid w:val="007E4A5A"/>
    <w:rsid w:val="007E4C11"/>
    <w:rsid w:val="0086124B"/>
    <w:rsid w:val="00882188"/>
    <w:rsid w:val="008D0A21"/>
    <w:rsid w:val="00947ED2"/>
    <w:rsid w:val="009B65DE"/>
    <w:rsid w:val="00A30EDB"/>
    <w:rsid w:val="00A34BB1"/>
    <w:rsid w:val="00A62BAE"/>
    <w:rsid w:val="00AD5D1E"/>
    <w:rsid w:val="00BB2F2E"/>
    <w:rsid w:val="00BF231B"/>
    <w:rsid w:val="00C20DD3"/>
    <w:rsid w:val="00C34F07"/>
    <w:rsid w:val="00CE241C"/>
    <w:rsid w:val="00D821A5"/>
    <w:rsid w:val="00E11F95"/>
    <w:rsid w:val="00E73FAC"/>
    <w:rsid w:val="00EC25C8"/>
    <w:rsid w:val="00EE2422"/>
    <w:rsid w:val="00F66009"/>
    <w:rsid w:val="00F66D1A"/>
    <w:rsid w:val="00F86A1D"/>
    <w:rsid w:val="00F939F8"/>
    <w:rsid w:val="00FB2190"/>
    <w:rsid w:val="00FC18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D454C"/>
  <w14:defaultImageDpi w14:val="32767"/>
  <w15:docId w15:val="{0F9FB4B9-0026-4360-B973-C9FB2CC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436CD"/>
  </w:style>
  <w:style w:type="character" w:customStyle="1" w:styleId="NotedebasdepageCar">
    <w:name w:val="Note de bas de page Car"/>
    <w:basedOn w:val="Policepardfaut"/>
    <w:link w:val="Notedebasdepage"/>
    <w:uiPriority w:val="99"/>
    <w:rsid w:val="000436CD"/>
  </w:style>
  <w:style w:type="character" w:styleId="Appelnotedebasdep">
    <w:name w:val="footnote reference"/>
    <w:basedOn w:val="Policepardfaut"/>
    <w:uiPriority w:val="99"/>
    <w:unhideWhenUsed/>
    <w:rsid w:val="000436CD"/>
    <w:rPr>
      <w:vertAlign w:val="superscript"/>
    </w:rPr>
  </w:style>
  <w:style w:type="paragraph" w:styleId="Paragraphedeliste">
    <w:name w:val="List Paragraph"/>
    <w:basedOn w:val="Normal"/>
    <w:uiPriority w:val="34"/>
    <w:qFormat/>
    <w:rsid w:val="00F66009"/>
    <w:pPr>
      <w:ind w:left="720"/>
      <w:contextualSpacing/>
    </w:pPr>
  </w:style>
  <w:style w:type="character" w:styleId="Lienhypertexte">
    <w:name w:val="Hyperlink"/>
    <w:basedOn w:val="Policepardfaut"/>
    <w:uiPriority w:val="99"/>
    <w:unhideWhenUsed/>
    <w:rsid w:val="003C19E0"/>
    <w:rPr>
      <w:color w:val="0563C1" w:themeColor="hyperlink"/>
      <w:u w:val="single"/>
    </w:rPr>
  </w:style>
  <w:style w:type="paragraph" w:styleId="Pieddepage">
    <w:name w:val="footer"/>
    <w:basedOn w:val="Normal"/>
    <w:link w:val="PieddepageCar"/>
    <w:uiPriority w:val="99"/>
    <w:unhideWhenUsed/>
    <w:rsid w:val="003C19E0"/>
    <w:pPr>
      <w:tabs>
        <w:tab w:val="center" w:pos="4536"/>
        <w:tab w:val="right" w:pos="9072"/>
      </w:tabs>
    </w:pPr>
  </w:style>
  <w:style w:type="character" w:customStyle="1" w:styleId="PieddepageCar">
    <w:name w:val="Pied de page Car"/>
    <w:basedOn w:val="Policepardfaut"/>
    <w:link w:val="Pieddepage"/>
    <w:uiPriority w:val="99"/>
    <w:rsid w:val="003C19E0"/>
  </w:style>
  <w:style w:type="character" w:styleId="Numrodepage">
    <w:name w:val="page number"/>
    <w:basedOn w:val="Policepardfaut"/>
    <w:uiPriority w:val="99"/>
    <w:semiHidden/>
    <w:unhideWhenUsed/>
    <w:rsid w:val="003C19E0"/>
  </w:style>
  <w:style w:type="character" w:styleId="Lienhypertextesuivivisit">
    <w:name w:val="FollowedHyperlink"/>
    <w:basedOn w:val="Policepardfaut"/>
    <w:uiPriority w:val="99"/>
    <w:semiHidden/>
    <w:unhideWhenUsed/>
    <w:rsid w:val="00045371"/>
    <w:rPr>
      <w:color w:val="954F72" w:themeColor="followedHyperlink"/>
      <w:u w:val="single"/>
    </w:rPr>
  </w:style>
  <w:style w:type="character" w:styleId="Marquedecommentaire">
    <w:name w:val="annotation reference"/>
    <w:basedOn w:val="Policepardfaut"/>
    <w:uiPriority w:val="99"/>
    <w:semiHidden/>
    <w:unhideWhenUsed/>
    <w:rsid w:val="0078484E"/>
    <w:rPr>
      <w:sz w:val="16"/>
      <w:szCs w:val="16"/>
    </w:rPr>
  </w:style>
  <w:style w:type="paragraph" w:styleId="Commentaire">
    <w:name w:val="annotation text"/>
    <w:basedOn w:val="Normal"/>
    <w:link w:val="CommentaireCar"/>
    <w:uiPriority w:val="99"/>
    <w:semiHidden/>
    <w:unhideWhenUsed/>
    <w:rsid w:val="0078484E"/>
    <w:rPr>
      <w:sz w:val="20"/>
      <w:szCs w:val="20"/>
    </w:rPr>
  </w:style>
  <w:style w:type="character" w:customStyle="1" w:styleId="CommentaireCar">
    <w:name w:val="Commentaire Car"/>
    <w:basedOn w:val="Policepardfaut"/>
    <w:link w:val="Commentaire"/>
    <w:uiPriority w:val="99"/>
    <w:semiHidden/>
    <w:rsid w:val="0078484E"/>
    <w:rPr>
      <w:sz w:val="20"/>
      <w:szCs w:val="20"/>
    </w:rPr>
  </w:style>
  <w:style w:type="paragraph" w:styleId="Objetducommentaire">
    <w:name w:val="annotation subject"/>
    <w:basedOn w:val="Commentaire"/>
    <w:next w:val="Commentaire"/>
    <w:link w:val="ObjetducommentaireCar"/>
    <w:uiPriority w:val="99"/>
    <w:semiHidden/>
    <w:unhideWhenUsed/>
    <w:rsid w:val="0078484E"/>
    <w:rPr>
      <w:b/>
      <w:bCs/>
    </w:rPr>
  </w:style>
  <w:style w:type="character" w:customStyle="1" w:styleId="ObjetducommentaireCar">
    <w:name w:val="Objet du commentaire Car"/>
    <w:basedOn w:val="CommentaireCar"/>
    <w:link w:val="Objetducommentaire"/>
    <w:uiPriority w:val="99"/>
    <w:semiHidden/>
    <w:rsid w:val="0078484E"/>
    <w:rPr>
      <w:b/>
      <w:bCs/>
      <w:sz w:val="20"/>
      <w:szCs w:val="20"/>
    </w:rPr>
  </w:style>
  <w:style w:type="paragraph" w:styleId="Textedebulles">
    <w:name w:val="Balloon Text"/>
    <w:basedOn w:val="Normal"/>
    <w:link w:val="TextedebullesCar"/>
    <w:uiPriority w:val="99"/>
    <w:semiHidden/>
    <w:unhideWhenUsed/>
    <w:rsid w:val="0078484E"/>
    <w:rPr>
      <w:rFonts w:ascii="Tahoma" w:hAnsi="Tahoma" w:cs="Tahoma"/>
      <w:sz w:val="16"/>
      <w:szCs w:val="16"/>
    </w:rPr>
  </w:style>
  <w:style w:type="character" w:customStyle="1" w:styleId="TextedebullesCar">
    <w:name w:val="Texte de bulles Car"/>
    <w:basedOn w:val="Policepardfaut"/>
    <w:link w:val="Textedebulles"/>
    <w:uiPriority w:val="99"/>
    <w:semiHidden/>
    <w:rsid w:val="0078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luhcie.univ-grenoble-alpes.fr/programmes-de-recherche/"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ma.ghermani@univ-grenoble-alp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es.bertrand@univ-grenoble-alp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elise@unive.it" TargetMode="External"/><Relationship Id="rId4" Type="http://schemas.openxmlformats.org/officeDocument/2006/relationships/settings" Target="settings.xml"/><Relationship Id="rId9" Type="http://schemas.openxmlformats.org/officeDocument/2006/relationships/hyperlink" Target="http://www.efrome.it/la-recherche/programmes/programmes-scientifiques-2017-2021/adminetr.html"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C79D9-D920-42D9-8AD7-AF2E56AC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5542</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TARRICONE</dc:creator>
  <cp:keywords/>
  <dc:description/>
  <cp:lastModifiedBy>ISABELLA TARRICONE</cp:lastModifiedBy>
  <cp:revision>2</cp:revision>
  <cp:lastPrinted>2018-07-04T19:09:00Z</cp:lastPrinted>
  <dcterms:created xsi:type="dcterms:W3CDTF">2018-10-22T13:47:00Z</dcterms:created>
  <dcterms:modified xsi:type="dcterms:W3CDTF">2018-10-22T13:47:00Z</dcterms:modified>
</cp:coreProperties>
</file>